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1899CC8E"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566191">
        <w:rPr>
          <w:rFonts w:eastAsia="SimSun"/>
          <w:lang w:eastAsia="zh-CN"/>
        </w:rPr>
        <w:t>3</w:t>
      </w:r>
      <w:r w:rsidR="00566191">
        <w:rPr>
          <w:rFonts w:eastAsia="SimSun"/>
          <w:lang w:eastAsia="zh-CN"/>
        </w:rPr>
        <w:tab/>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R4</w:t>
      </w:r>
      <w:r w:rsidRPr="00EC4FED">
        <w:t>-</w:t>
      </w:r>
      <w:r w:rsidR="00CB768E" w:rsidRPr="00EC4FED">
        <w:t>19</w:t>
      </w:r>
      <w:r w:rsidR="00E01EBB" w:rsidRPr="00EC4FED">
        <w:t>1</w:t>
      </w:r>
      <w:r w:rsidR="00EC4FED" w:rsidRPr="00EC4FED">
        <w:t>4264</w:t>
      </w:r>
    </w:p>
    <w:p w14:paraId="35BF833C" w14:textId="1082A808" w:rsidR="00DF018A" w:rsidRPr="008E18F2" w:rsidRDefault="00566191" w:rsidP="00DF018A">
      <w:pPr>
        <w:pStyle w:val="a"/>
        <w:rPr>
          <w:rFonts w:eastAsia="SimSun"/>
          <w:lang w:eastAsia="zh-CN"/>
        </w:rPr>
      </w:pPr>
      <w:r>
        <w:rPr>
          <w:rFonts w:cs="Arial"/>
        </w:rPr>
        <w:t>Reno</w:t>
      </w:r>
      <w:r w:rsidR="00DF018A" w:rsidRPr="00E23C3E">
        <w:rPr>
          <w:rFonts w:hint="eastAsia"/>
        </w:rPr>
        <w:t>,</w:t>
      </w:r>
      <w:r w:rsidR="00DF018A" w:rsidRPr="00A62DA7">
        <w:rPr>
          <w:rFonts w:hint="eastAsia"/>
        </w:rPr>
        <w:t xml:space="preserve"> </w:t>
      </w:r>
      <w:r>
        <w:t>USA</w:t>
      </w:r>
      <w:r w:rsidR="00AD15D4">
        <w:t xml:space="preserve">, </w:t>
      </w:r>
      <w:r w:rsidR="00CB69B3">
        <w:rPr>
          <w:rFonts w:cs="Arial"/>
        </w:rPr>
        <w:t>1</w:t>
      </w:r>
      <w:r>
        <w:rPr>
          <w:rFonts w:cs="Arial"/>
        </w:rPr>
        <w:t>8</w:t>
      </w:r>
      <w:r w:rsidR="00DF018A" w:rsidRPr="00084769">
        <w:rPr>
          <w:rFonts w:cs="Arial"/>
        </w:rPr>
        <w:t xml:space="preserve"> – </w:t>
      </w:r>
      <w:r>
        <w:rPr>
          <w:rFonts w:cs="Arial"/>
        </w:rPr>
        <w:t>22</w:t>
      </w:r>
      <w:r w:rsidR="00DF018A">
        <w:rPr>
          <w:rFonts w:cs="Arial"/>
        </w:rPr>
        <w:t xml:space="preserve"> </w:t>
      </w:r>
      <w:r>
        <w:rPr>
          <w:rFonts w:cs="Arial"/>
        </w:rPr>
        <w:t>November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38A8C71E"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634C6E">
        <w:rPr>
          <w:sz w:val="22"/>
        </w:rPr>
        <w:t>IAB-Node frequency error requirement</w:t>
      </w:r>
    </w:p>
    <w:p w14:paraId="38BCE621" w14:textId="2C0634A5"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EC4FED">
        <w:rPr>
          <w:sz w:val="22"/>
          <w:lang w:val="en-US"/>
        </w:rPr>
        <w:t>9.5.4.2.1</w:t>
      </w:r>
      <w:bookmarkStart w:id="2" w:name="_GoBack"/>
      <w:bookmarkEnd w:id="2"/>
    </w:p>
    <w:p w14:paraId="41D55FE6" w14:textId="7E6C30B0"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CD5283">
        <w:rPr>
          <w:sz w:val="22"/>
        </w:rPr>
        <w:t>Approval</w:t>
      </w:r>
    </w:p>
    <w:p w14:paraId="31CCC137" w14:textId="77777777" w:rsidR="0043450E" w:rsidRDefault="0043450E" w:rsidP="0043450E">
      <w:pPr>
        <w:pStyle w:val="Heading1"/>
      </w:pPr>
      <w:r>
        <w:t>1</w:t>
      </w:r>
      <w:r>
        <w:tab/>
        <w:t>Introduction</w:t>
      </w:r>
    </w:p>
    <w:p w14:paraId="781A2A01" w14:textId="6428FC8C" w:rsidR="00CF249F" w:rsidRDefault="00634C6E" w:rsidP="000B5E8E">
      <w:r>
        <w:rPr>
          <w:rFonts w:eastAsia="Batang"/>
          <w:lang w:eastAsia="ko-KR"/>
        </w:rPr>
        <w:t>In RAN4#92-bis it was agreed that IAB-DU frequency error requirement will be against an absolute frequency and IAB-MT frequency error requirement against the frequency it receives from the parent-DU</w:t>
      </w:r>
      <w:r w:rsidR="00CD5283">
        <w:rPr>
          <w:rFonts w:eastAsia="Batang"/>
          <w:lang w:eastAsia="ko-KR"/>
        </w:rPr>
        <w:t>.</w:t>
      </w:r>
      <w:r>
        <w:rPr>
          <w:rFonts w:eastAsia="Batang"/>
          <w:lang w:eastAsia="ko-KR"/>
        </w:rPr>
        <w:t xml:space="preserve"> In this contribution we provide our proposal for the actual requirement values.</w:t>
      </w:r>
    </w:p>
    <w:p w14:paraId="1ECA57B6" w14:textId="77777777" w:rsidR="001C3296" w:rsidRDefault="001C3296" w:rsidP="001C3296">
      <w:pPr>
        <w:pStyle w:val="Heading1"/>
      </w:pPr>
      <w:r>
        <w:t>2</w:t>
      </w:r>
      <w:r>
        <w:tab/>
        <w:t>Discussion</w:t>
      </w:r>
    </w:p>
    <w:p w14:paraId="2CDDEE52" w14:textId="16BB70F1" w:rsidR="00391399" w:rsidRDefault="00F47649" w:rsidP="00CD5283">
      <w:r>
        <w:t>In</w:t>
      </w:r>
      <w:r w:rsidR="007B0F5C">
        <w:t xml:space="preserve"> </w:t>
      </w:r>
      <w:r w:rsidR="00055089">
        <w:t>RAN4#92-bis the principle of frequency error requirement was agreed, but the actual requirement values were still left open. One discussed idea was that the requirements should become more stringent compared to current base station requirements, as this would enable using the signal from parent node as a frequency reference as still maintain the frequency error within the same limits as specified for rel-15.</w:t>
      </w:r>
    </w:p>
    <w:p w14:paraId="22A248BD" w14:textId="77777777" w:rsidR="00055089" w:rsidRDefault="00055089" w:rsidP="00CD5283">
      <w:r>
        <w:t xml:space="preserve">One important factor to note here is that the task of RAN4 is to specify the minimum requirements. Sometimes the minimum requirements differ from what is optimal for specific network deployments. This can be also considered to be a positive thing, as it leaves room for competition between different vendors and operators. </w:t>
      </w:r>
    </w:p>
    <w:p w14:paraId="2FE894E2" w14:textId="4D680253" w:rsidR="00055089" w:rsidRDefault="00055089" w:rsidP="00CD5283">
      <w:r>
        <w:t>Making frequency error requirements more stringent compared to rel-15 is an optimization for a specific use case, and as itself is not required to maintain compatibility of rel-15 UE and BS designs. Keeping the requirements at equivalent complexity level does not prevent vendors to implement more accurate frequency synchronization if they see the value in doing it. However, such improved performance should not be considered to be a minimum requirement for all IAB-Nodes.</w:t>
      </w:r>
    </w:p>
    <w:p w14:paraId="2A2E154D" w14:textId="31484335" w:rsidR="00055089" w:rsidRDefault="00587FAB" w:rsidP="00CD5283">
      <w:r>
        <w:t xml:space="preserve">For FR2 UEs the requirement is +-/ 0.1 ppm independent of power class. </w:t>
      </w:r>
      <w:r w:rsidR="00647CD3" w:rsidRPr="00647CD3">
        <w:t xml:space="preserve">Current </w:t>
      </w:r>
      <w:r w:rsidR="00647CD3">
        <w:t>FR2 frequency error requirements for Base stations are shown in Table 1.</w:t>
      </w:r>
    </w:p>
    <w:p w14:paraId="389E9D19" w14:textId="42E3E652" w:rsidR="00647CD3" w:rsidRDefault="00647CD3" w:rsidP="00647CD3">
      <w:pPr>
        <w:pStyle w:val="TH"/>
        <w:rPr>
          <w:lang w:eastAsia="zh-CN"/>
        </w:rPr>
      </w:pPr>
      <w:r>
        <w:t xml:space="preserve">Table </w:t>
      </w:r>
      <w:r>
        <w:rPr>
          <w:lang w:eastAsia="zh-CN"/>
        </w:rPr>
        <w:t>1</w:t>
      </w:r>
      <w:r>
        <w:t xml:space="preserve">: </w:t>
      </w:r>
      <w:r>
        <w:rPr>
          <w:lang w:eastAsia="zh-CN"/>
        </w:rPr>
        <w:t>OTA frequency error minimum requirement for base stations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647CD3" w14:paraId="72025C15" w14:textId="77777777" w:rsidTr="00647CD3">
        <w:trPr>
          <w:jc w:val="center"/>
        </w:trPr>
        <w:tc>
          <w:tcPr>
            <w:tcW w:w="2518" w:type="dxa"/>
            <w:tcBorders>
              <w:top w:val="single" w:sz="4" w:space="0" w:color="auto"/>
              <w:left w:val="single" w:sz="4" w:space="0" w:color="auto"/>
              <w:bottom w:val="single" w:sz="4" w:space="0" w:color="auto"/>
              <w:right w:val="single" w:sz="4" w:space="0" w:color="auto"/>
            </w:tcBorders>
            <w:hideMark/>
          </w:tcPr>
          <w:p w14:paraId="37FD94F6" w14:textId="77777777" w:rsidR="00647CD3" w:rsidRDefault="00647CD3">
            <w:pPr>
              <w:pStyle w:val="TAH"/>
            </w:pPr>
            <w:r>
              <w:t>BS class</w:t>
            </w:r>
          </w:p>
        </w:tc>
        <w:tc>
          <w:tcPr>
            <w:tcW w:w="1559" w:type="dxa"/>
            <w:tcBorders>
              <w:top w:val="single" w:sz="4" w:space="0" w:color="auto"/>
              <w:left w:val="single" w:sz="4" w:space="0" w:color="auto"/>
              <w:bottom w:val="single" w:sz="4" w:space="0" w:color="auto"/>
              <w:right w:val="single" w:sz="4" w:space="0" w:color="auto"/>
            </w:tcBorders>
            <w:hideMark/>
          </w:tcPr>
          <w:p w14:paraId="164862C8" w14:textId="77777777" w:rsidR="00647CD3" w:rsidRDefault="00647CD3">
            <w:pPr>
              <w:pStyle w:val="TAH"/>
            </w:pPr>
            <w:r>
              <w:t>Accuracy</w:t>
            </w:r>
          </w:p>
        </w:tc>
      </w:tr>
      <w:tr w:rsidR="00647CD3" w14:paraId="0363D58D" w14:textId="77777777" w:rsidTr="00647CD3">
        <w:trPr>
          <w:jc w:val="center"/>
        </w:trPr>
        <w:tc>
          <w:tcPr>
            <w:tcW w:w="2518" w:type="dxa"/>
            <w:tcBorders>
              <w:top w:val="single" w:sz="4" w:space="0" w:color="auto"/>
              <w:left w:val="single" w:sz="4" w:space="0" w:color="auto"/>
              <w:bottom w:val="single" w:sz="4" w:space="0" w:color="auto"/>
              <w:right w:val="single" w:sz="4" w:space="0" w:color="auto"/>
            </w:tcBorders>
            <w:hideMark/>
          </w:tcPr>
          <w:p w14:paraId="5F939221" w14:textId="77777777" w:rsidR="00647CD3" w:rsidRDefault="00647CD3">
            <w:pPr>
              <w:pStyle w:val="TAC"/>
            </w:pPr>
            <w:r>
              <w:t>Wide Area BS</w:t>
            </w:r>
          </w:p>
        </w:tc>
        <w:tc>
          <w:tcPr>
            <w:tcW w:w="1559" w:type="dxa"/>
            <w:tcBorders>
              <w:top w:val="single" w:sz="4" w:space="0" w:color="auto"/>
              <w:left w:val="single" w:sz="4" w:space="0" w:color="auto"/>
              <w:bottom w:val="single" w:sz="4" w:space="0" w:color="auto"/>
              <w:right w:val="single" w:sz="4" w:space="0" w:color="auto"/>
            </w:tcBorders>
            <w:hideMark/>
          </w:tcPr>
          <w:p w14:paraId="3B59E99C" w14:textId="77777777" w:rsidR="00647CD3" w:rsidRDefault="00647CD3">
            <w:pPr>
              <w:pStyle w:val="TAC"/>
            </w:pPr>
            <w:r>
              <w:t>±0.05 ppm</w:t>
            </w:r>
          </w:p>
        </w:tc>
      </w:tr>
      <w:tr w:rsidR="00647CD3" w14:paraId="14124632" w14:textId="77777777" w:rsidTr="00647CD3">
        <w:trPr>
          <w:jc w:val="center"/>
        </w:trPr>
        <w:tc>
          <w:tcPr>
            <w:tcW w:w="2518" w:type="dxa"/>
            <w:tcBorders>
              <w:top w:val="single" w:sz="4" w:space="0" w:color="auto"/>
              <w:left w:val="single" w:sz="4" w:space="0" w:color="auto"/>
              <w:bottom w:val="single" w:sz="4" w:space="0" w:color="auto"/>
              <w:right w:val="single" w:sz="4" w:space="0" w:color="auto"/>
            </w:tcBorders>
            <w:hideMark/>
          </w:tcPr>
          <w:p w14:paraId="28042777" w14:textId="77777777" w:rsidR="00647CD3" w:rsidRDefault="00647CD3">
            <w:pPr>
              <w:pStyle w:val="TAC"/>
            </w:pPr>
            <w:r>
              <w:t>Medium Range BS</w:t>
            </w:r>
          </w:p>
        </w:tc>
        <w:tc>
          <w:tcPr>
            <w:tcW w:w="1559" w:type="dxa"/>
            <w:tcBorders>
              <w:top w:val="single" w:sz="4" w:space="0" w:color="auto"/>
              <w:left w:val="single" w:sz="4" w:space="0" w:color="auto"/>
              <w:bottom w:val="single" w:sz="4" w:space="0" w:color="auto"/>
              <w:right w:val="single" w:sz="4" w:space="0" w:color="auto"/>
            </w:tcBorders>
            <w:hideMark/>
          </w:tcPr>
          <w:p w14:paraId="426ABE45" w14:textId="77777777" w:rsidR="00647CD3" w:rsidRDefault="00647CD3">
            <w:pPr>
              <w:pStyle w:val="TAC"/>
            </w:pPr>
            <w:r>
              <w:t>±0.1 ppm</w:t>
            </w:r>
          </w:p>
        </w:tc>
      </w:tr>
      <w:tr w:rsidR="00647CD3" w14:paraId="3775777F" w14:textId="77777777" w:rsidTr="00647CD3">
        <w:trPr>
          <w:jc w:val="center"/>
        </w:trPr>
        <w:tc>
          <w:tcPr>
            <w:tcW w:w="2518" w:type="dxa"/>
            <w:tcBorders>
              <w:top w:val="single" w:sz="4" w:space="0" w:color="auto"/>
              <w:left w:val="single" w:sz="4" w:space="0" w:color="auto"/>
              <w:bottom w:val="single" w:sz="4" w:space="0" w:color="auto"/>
              <w:right w:val="single" w:sz="4" w:space="0" w:color="auto"/>
            </w:tcBorders>
            <w:hideMark/>
          </w:tcPr>
          <w:p w14:paraId="1C1B9993" w14:textId="77777777" w:rsidR="00647CD3" w:rsidRDefault="00647CD3">
            <w:pPr>
              <w:pStyle w:val="TAC"/>
            </w:pPr>
            <w:r>
              <w:t>Local Area BS</w:t>
            </w:r>
          </w:p>
        </w:tc>
        <w:tc>
          <w:tcPr>
            <w:tcW w:w="1559" w:type="dxa"/>
            <w:tcBorders>
              <w:top w:val="single" w:sz="4" w:space="0" w:color="auto"/>
              <w:left w:val="single" w:sz="4" w:space="0" w:color="auto"/>
              <w:bottom w:val="single" w:sz="4" w:space="0" w:color="auto"/>
              <w:right w:val="single" w:sz="4" w:space="0" w:color="auto"/>
            </w:tcBorders>
            <w:hideMark/>
          </w:tcPr>
          <w:p w14:paraId="69DF52B9" w14:textId="77777777" w:rsidR="00647CD3" w:rsidRDefault="00647CD3">
            <w:pPr>
              <w:pStyle w:val="TAC"/>
            </w:pPr>
            <w:r>
              <w:t>±0.1 ppm</w:t>
            </w:r>
          </w:p>
        </w:tc>
      </w:tr>
    </w:tbl>
    <w:p w14:paraId="1794408C" w14:textId="77777777" w:rsidR="00647CD3" w:rsidRDefault="00647CD3" w:rsidP="00CD5283"/>
    <w:p w14:paraId="2A972DFC" w14:textId="1D8341A7" w:rsidR="00587FAB" w:rsidRDefault="00587FAB" w:rsidP="00CD5283">
      <w:r>
        <w:t>In general, different output power classes for IAB-Nodes have not been agreed yet, in it is unclear what it the added values of carrying over two different frequency error values. For these reasons it is proposed to specify only a single value of +/- 0.1ppm for FR2.</w:t>
      </w:r>
    </w:p>
    <w:p w14:paraId="4F7A56FE" w14:textId="70477624" w:rsidR="00587FAB" w:rsidRPr="00587FAB" w:rsidRDefault="00587FAB" w:rsidP="00CD5283">
      <w:pPr>
        <w:rPr>
          <w:b/>
        </w:rPr>
      </w:pPr>
      <w:r w:rsidRPr="00634C6E">
        <w:rPr>
          <w:b/>
        </w:rPr>
        <w:t xml:space="preserve">Proposal 1: </w:t>
      </w:r>
      <w:r>
        <w:rPr>
          <w:b/>
        </w:rPr>
        <w:t>IAB-Node frequency error requirement is +/- 0.1ppm in FR2. Same requirement is applied for IAB-MT and IAB-DU.</w:t>
      </w:r>
    </w:p>
    <w:p w14:paraId="52782008" w14:textId="77777777" w:rsidR="00F32200" w:rsidRDefault="00F32200" w:rsidP="00F32200">
      <w:pPr>
        <w:pStyle w:val="Heading1"/>
      </w:pPr>
      <w:r>
        <w:t>3</w:t>
      </w:r>
      <w:r>
        <w:tab/>
        <w:t>Conclusion</w:t>
      </w:r>
    </w:p>
    <w:p w14:paraId="0B6259CF" w14:textId="32A0BAF2" w:rsidR="00903863" w:rsidRDefault="0056035D" w:rsidP="00634C6E">
      <w:r>
        <w:t>In this contribution</w:t>
      </w:r>
      <w:r w:rsidR="007B0F5C">
        <w:t xml:space="preserve"> </w:t>
      </w:r>
      <w:r w:rsidR="00634C6E">
        <w:t>IAB-Node frequency error was discussed and the following proposal was made:</w:t>
      </w:r>
    </w:p>
    <w:p w14:paraId="5B309DEB" w14:textId="3C1459C9" w:rsidR="00634C6E" w:rsidRPr="00634C6E" w:rsidRDefault="00634C6E" w:rsidP="00634C6E">
      <w:pPr>
        <w:rPr>
          <w:b/>
        </w:rPr>
      </w:pPr>
      <w:r w:rsidRPr="00634C6E">
        <w:rPr>
          <w:b/>
        </w:rPr>
        <w:t xml:space="preserve">Proposal 1: </w:t>
      </w:r>
      <w:r>
        <w:rPr>
          <w:b/>
        </w:rPr>
        <w:t>IAB-Node frequency error requirement is +/- 0.1ppm</w:t>
      </w:r>
      <w:r w:rsidR="00647CD3">
        <w:rPr>
          <w:b/>
        </w:rPr>
        <w:t xml:space="preserve"> in FR2</w:t>
      </w:r>
      <w:r>
        <w:rPr>
          <w:b/>
        </w:rPr>
        <w:t>. Same requirement is applied for IAB-MT and IAB-DU.</w:t>
      </w:r>
    </w:p>
    <w:p w14:paraId="55B204E9" w14:textId="77777777" w:rsidR="0057669F" w:rsidRDefault="0057669F" w:rsidP="0057669F">
      <w:pPr>
        <w:pStyle w:val="Heading1"/>
      </w:pPr>
      <w:r>
        <w:lastRenderedPageBreak/>
        <w:t>4</w:t>
      </w:r>
      <w:r>
        <w:tab/>
        <w:t>Reference</w:t>
      </w:r>
      <w:r w:rsidR="0035582C">
        <w:t>s</w:t>
      </w:r>
    </w:p>
    <w:p w14:paraId="258E18AC" w14:textId="77777777" w:rsidR="00566191" w:rsidRDefault="00566191" w:rsidP="00132FF9">
      <w:pPr>
        <w:overflowPunct/>
        <w:autoSpaceDE/>
        <w:autoSpaceDN/>
        <w:adjustRightInd/>
        <w:spacing w:after="0"/>
        <w:textAlignment w:val="auto"/>
        <w:rPr>
          <w:lang w:val="en-US"/>
        </w:rPr>
      </w:pPr>
    </w:p>
    <w:p w14:paraId="797B7B88" w14:textId="6F661360" w:rsidR="00566191" w:rsidRDefault="00566191" w:rsidP="00132FF9">
      <w:pPr>
        <w:overflowPunct/>
        <w:autoSpaceDE/>
        <w:autoSpaceDN/>
        <w:adjustRightInd/>
        <w:spacing w:after="0"/>
        <w:textAlignment w:val="auto"/>
        <w:rPr>
          <w:lang w:val="en-US"/>
        </w:rPr>
      </w:pPr>
    </w:p>
    <w:p w14:paraId="3A024462" w14:textId="77777777" w:rsidR="00566191" w:rsidRPr="00132FF9" w:rsidRDefault="00566191" w:rsidP="00132FF9">
      <w:pPr>
        <w:overflowPunct/>
        <w:autoSpaceDE/>
        <w:autoSpaceDN/>
        <w:adjustRightInd/>
        <w:spacing w:after="0"/>
        <w:textAlignment w:val="auto"/>
        <w:rPr>
          <w:lang w:val="en-US"/>
        </w:rPr>
      </w:pPr>
    </w:p>
    <w:p w14:paraId="3FF00238" w14:textId="3D6B0F0D" w:rsidR="006750A5" w:rsidRPr="00132FF9" w:rsidRDefault="006750A5" w:rsidP="000450CB">
      <w:pPr>
        <w:ind w:left="567" w:hanging="567"/>
        <w:rPr>
          <w:lang w:val="en-US"/>
        </w:rPr>
      </w:pPr>
    </w:p>
    <w:sectPr w:rsidR="006750A5" w:rsidRPr="00132FF9"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4F4CA" w14:textId="77777777" w:rsidR="00295A93" w:rsidRDefault="00295A93" w:rsidP="002B3503">
      <w:pPr>
        <w:spacing w:after="0"/>
      </w:pPr>
      <w:r>
        <w:separator/>
      </w:r>
    </w:p>
  </w:endnote>
  <w:endnote w:type="continuationSeparator" w:id="0">
    <w:p w14:paraId="68D339B3" w14:textId="77777777" w:rsidR="00295A93" w:rsidRDefault="00295A93"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1A7F8" w14:textId="77777777" w:rsidR="00295A93" w:rsidRDefault="00295A93" w:rsidP="002B3503">
      <w:pPr>
        <w:spacing w:after="0"/>
      </w:pPr>
      <w:r>
        <w:separator/>
      </w:r>
    </w:p>
  </w:footnote>
  <w:footnote w:type="continuationSeparator" w:id="0">
    <w:p w14:paraId="2697F02E" w14:textId="77777777" w:rsidR="00295A93" w:rsidRDefault="00295A93"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1"/>
  </w:num>
  <w:num w:numId="3">
    <w:abstractNumId w:val="6"/>
  </w:num>
  <w:num w:numId="4">
    <w:abstractNumId w:val="8"/>
  </w:num>
  <w:num w:numId="5">
    <w:abstractNumId w:val="9"/>
  </w:num>
  <w:num w:numId="6">
    <w:abstractNumId w:val="10"/>
  </w:num>
  <w:num w:numId="7">
    <w:abstractNumId w:val="5"/>
  </w:num>
  <w:num w:numId="8">
    <w:abstractNumId w:val="2"/>
  </w:num>
  <w:num w:numId="9">
    <w:abstractNumId w:val="0"/>
  </w:num>
  <w:num w:numId="10">
    <w:abstractNumId w:val="7"/>
  </w:num>
  <w:num w:numId="11">
    <w:abstractNumId w:val="12"/>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450CB"/>
    <w:rsid w:val="00046F81"/>
    <w:rsid w:val="00051A7D"/>
    <w:rsid w:val="00055089"/>
    <w:rsid w:val="000832DA"/>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2FF9"/>
    <w:rsid w:val="001364A1"/>
    <w:rsid w:val="0015000E"/>
    <w:rsid w:val="0016131F"/>
    <w:rsid w:val="00164A53"/>
    <w:rsid w:val="0018022D"/>
    <w:rsid w:val="001B180D"/>
    <w:rsid w:val="001B494A"/>
    <w:rsid w:val="001C3296"/>
    <w:rsid w:val="001D4627"/>
    <w:rsid w:val="00210C9E"/>
    <w:rsid w:val="002127E2"/>
    <w:rsid w:val="00213D17"/>
    <w:rsid w:val="00214C87"/>
    <w:rsid w:val="00215035"/>
    <w:rsid w:val="002202BE"/>
    <w:rsid w:val="00230B20"/>
    <w:rsid w:val="00237779"/>
    <w:rsid w:val="00237803"/>
    <w:rsid w:val="002640C9"/>
    <w:rsid w:val="00264D5C"/>
    <w:rsid w:val="00277EE7"/>
    <w:rsid w:val="00285189"/>
    <w:rsid w:val="00285EBA"/>
    <w:rsid w:val="00291DDD"/>
    <w:rsid w:val="00295A93"/>
    <w:rsid w:val="002A6C25"/>
    <w:rsid w:val="002A7181"/>
    <w:rsid w:val="002B3503"/>
    <w:rsid w:val="002B3F6F"/>
    <w:rsid w:val="002C1641"/>
    <w:rsid w:val="002C1C70"/>
    <w:rsid w:val="002D2721"/>
    <w:rsid w:val="002F0018"/>
    <w:rsid w:val="002F139F"/>
    <w:rsid w:val="002F6A38"/>
    <w:rsid w:val="00311ABA"/>
    <w:rsid w:val="003174F7"/>
    <w:rsid w:val="00317C62"/>
    <w:rsid w:val="00331CE4"/>
    <w:rsid w:val="00347DEA"/>
    <w:rsid w:val="00350DA9"/>
    <w:rsid w:val="00351332"/>
    <w:rsid w:val="0035582C"/>
    <w:rsid w:val="003613B8"/>
    <w:rsid w:val="00363074"/>
    <w:rsid w:val="00367DA8"/>
    <w:rsid w:val="00371259"/>
    <w:rsid w:val="00376110"/>
    <w:rsid w:val="003777FE"/>
    <w:rsid w:val="003879A9"/>
    <w:rsid w:val="00391399"/>
    <w:rsid w:val="003A1BF2"/>
    <w:rsid w:val="003C3016"/>
    <w:rsid w:val="003D3111"/>
    <w:rsid w:val="003D5813"/>
    <w:rsid w:val="003E36C3"/>
    <w:rsid w:val="003F0CBC"/>
    <w:rsid w:val="003F1982"/>
    <w:rsid w:val="004035FC"/>
    <w:rsid w:val="00404C40"/>
    <w:rsid w:val="0042109F"/>
    <w:rsid w:val="00427F57"/>
    <w:rsid w:val="0043450E"/>
    <w:rsid w:val="0045082D"/>
    <w:rsid w:val="004533DE"/>
    <w:rsid w:val="00453BA5"/>
    <w:rsid w:val="00454E53"/>
    <w:rsid w:val="004754A1"/>
    <w:rsid w:val="00482477"/>
    <w:rsid w:val="00482BAF"/>
    <w:rsid w:val="00484762"/>
    <w:rsid w:val="00491386"/>
    <w:rsid w:val="00494F18"/>
    <w:rsid w:val="004A41DA"/>
    <w:rsid w:val="004A47DD"/>
    <w:rsid w:val="004A666A"/>
    <w:rsid w:val="004C0103"/>
    <w:rsid w:val="004C4473"/>
    <w:rsid w:val="004C58F9"/>
    <w:rsid w:val="004D0C67"/>
    <w:rsid w:val="004D36A5"/>
    <w:rsid w:val="004D3D81"/>
    <w:rsid w:val="004D4354"/>
    <w:rsid w:val="005001B2"/>
    <w:rsid w:val="00507108"/>
    <w:rsid w:val="00512C65"/>
    <w:rsid w:val="00522412"/>
    <w:rsid w:val="00527349"/>
    <w:rsid w:val="005304C6"/>
    <w:rsid w:val="00530929"/>
    <w:rsid w:val="00541E71"/>
    <w:rsid w:val="00542EA4"/>
    <w:rsid w:val="00544A0E"/>
    <w:rsid w:val="00544EA7"/>
    <w:rsid w:val="005472C5"/>
    <w:rsid w:val="00551BD8"/>
    <w:rsid w:val="0056035D"/>
    <w:rsid w:val="00560A63"/>
    <w:rsid w:val="00564B2E"/>
    <w:rsid w:val="00566191"/>
    <w:rsid w:val="00570B14"/>
    <w:rsid w:val="0057669F"/>
    <w:rsid w:val="00587FAB"/>
    <w:rsid w:val="005A08FD"/>
    <w:rsid w:val="005A3D67"/>
    <w:rsid w:val="005B2640"/>
    <w:rsid w:val="005C2EB7"/>
    <w:rsid w:val="005C3C47"/>
    <w:rsid w:val="005D0E70"/>
    <w:rsid w:val="005D0FDB"/>
    <w:rsid w:val="005D7B06"/>
    <w:rsid w:val="005E49A2"/>
    <w:rsid w:val="005F1F1C"/>
    <w:rsid w:val="005F6CE3"/>
    <w:rsid w:val="00602EB6"/>
    <w:rsid w:val="0060382B"/>
    <w:rsid w:val="006168C2"/>
    <w:rsid w:val="006235B4"/>
    <w:rsid w:val="00630341"/>
    <w:rsid w:val="00634C6E"/>
    <w:rsid w:val="00641C2E"/>
    <w:rsid w:val="00647CD3"/>
    <w:rsid w:val="00654B03"/>
    <w:rsid w:val="00663E30"/>
    <w:rsid w:val="00666120"/>
    <w:rsid w:val="00673969"/>
    <w:rsid w:val="006750A5"/>
    <w:rsid w:val="00692D32"/>
    <w:rsid w:val="006A21E1"/>
    <w:rsid w:val="006A6876"/>
    <w:rsid w:val="006B720B"/>
    <w:rsid w:val="006C16B3"/>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3E62"/>
    <w:rsid w:val="00782875"/>
    <w:rsid w:val="007A12F4"/>
    <w:rsid w:val="007A23DA"/>
    <w:rsid w:val="007B0F5C"/>
    <w:rsid w:val="007C0429"/>
    <w:rsid w:val="007D20DF"/>
    <w:rsid w:val="007E79BE"/>
    <w:rsid w:val="007F7547"/>
    <w:rsid w:val="008236E4"/>
    <w:rsid w:val="008371A7"/>
    <w:rsid w:val="0084176E"/>
    <w:rsid w:val="00845E2E"/>
    <w:rsid w:val="00850296"/>
    <w:rsid w:val="00853EC3"/>
    <w:rsid w:val="00870635"/>
    <w:rsid w:val="00874DB0"/>
    <w:rsid w:val="008771F4"/>
    <w:rsid w:val="008922F9"/>
    <w:rsid w:val="00895ABC"/>
    <w:rsid w:val="0089736D"/>
    <w:rsid w:val="008A4493"/>
    <w:rsid w:val="008B5F74"/>
    <w:rsid w:val="008D39F0"/>
    <w:rsid w:val="008D6E47"/>
    <w:rsid w:val="008F311C"/>
    <w:rsid w:val="008F463D"/>
    <w:rsid w:val="00903863"/>
    <w:rsid w:val="009050E8"/>
    <w:rsid w:val="00906259"/>
    <w:rsid w:val="00906620"/>
    <w:rsid w:val="0091383D"/>
    <w:rsid w:val="00932D74"/>
    <w:rsid w:val="009351C4"/>
    <w:rsid w:val="00937974"/>
    <w:rsid w:val="00940559"/>
    <w:rsid w:val="00943634"/>
    <w:rsid w:val="0096038C"/>
    <w:rsid w:val="009674D4"/>
    <w:rsid w:val="00977A17"/>
    <w:rsid w:val="00982464"/>
    <w:rsid w:val="00983C8F"/>
    <w:rsid w:val="0098619A"/>
    <w:rsid w:val="00996062"/>
    <w:rsid w:val="009A3979"/>
    <w:rsid w:val="009A6A8B"/>
    <w:rsid w:val="009A70AA"/>
    <w:rsid w:val="009B1E68"/>
    <w:rsid w:val="009B7379"/>
    <w:rsid w:val="009E3B23"/>
    <w:rsid w:val="00A067D5"/>
    <w:rsid w:val="00A10A2C"/>
    <w:rsid w:val="00A10B1E"/>
    <w:rsid w:val="00A15DC7"/>
    <w:rsid w:val="00A15FBF"/>
    <w:rsid w:val="00A451E8"/>
    <w:rsid w:val="00A466BF"/>
    <w:rsid w:val="00A47C8B"/>
    <w:rsid w:val="00A52A3B"/>
    <w:rsid w:val="00A52B69"/>
    <w:rsid w:val="00A6018C"/>
    <w:rsid w:val="00A64564"/>
    <w:rsid w:val="00A708BD"/>
    <w:rsid w:val="00A8390A"/>
    <w:rsid w:val="00A97C2D"/>
    <w:rsid w:val="00AB5402"/>
    <w:rsid w:val="00AC6D7C"/>
    <w:rsid w:val="00AD0C29"/>
    <w:rsid w:val="00AD15D4"/>
    <w:rsid w:val="00AD71AD"/>
    <w:rsid w:val="00AE6327"/>
    <w:rsid w:val="00AF14A0"/>
    <w:rsid w:val="00B1541B"/>
    <w:rsid w:val="00B172CC"/>
    <w:rsid w:val="00B31BAE"/>
    <w:rsid w:val="00B4385F"/>
    <w:rsid w:val="00B638DE"/>
    <w:rsid w:val="00B6504C"/>
    <w:rsid w:val="00B65B59"/>
    <w:rsid w:val="00BA3DB3"/>
    <w:rsid w:val="00BC764C"/>
    <w:rsid w:val="00BD0FF7"/>
    <w:rsid w:val="00BD3170"/>
    <w:rsid w:val="00BE140C"/>
    <w:rsid w:val="00BE1BA0"/>
    <w:rsid w:val="00BE5FB6"/>
    <w:rsid w:val="00BF4B17"/>
    <w:rsid w:val="00C14230"/>
    <w:rsid w:val="00C21554"/>
    <w:rsid w:val="00C24C90"/>
    <w:rsid w:val="00C24D31"/>
    <w:rsid w:val="00C33434"/>
    <w:rsid w:val="00C6627F"/>
    <w:rsid w:val="00C944DE"/>
    <w:rsid w:val="00CA5455"/>
    <w:rsid w:val="00CB69B3"/>
    <w:rsid w:val="00CB7240"/>
    <w:rsid w:val="00CB768E"/>
    <w:rsid w:val="00CC3529"/>
    <w:rsid w:val="00CD4FAF"/>
    <w:rsid w:val="00CD5283"/>
    <w:rsid w:val="00CF249F"/>
    <w:rsid w:val="00CF4657"/>
    <w:rsid w:val="00D23C06"/>
    <w:rsid w:val="00D26459"/>
    <w:rsid w:val="00D275CC"/>
    <w:rsid w:val="00D355D3"/>
    <w:rsid w:val="00D54EAA"/>
    <w:rsid w:val="00D5669A"/>
    <w:rsid w:val="00D62DCA"/>
    <w:rsid w:val="00D767C4"/>
    <w:rsid w:val="00D77CF5"/>
    <w:rsid w:val="00D81CF3"/>
    <w:rsid w:val="00D83D0F"/>
    <w:rsid w:val="00D848CC"/>
    <w:rsid w:val="00D8686A"/>
    <w:rsid w:val="00D86BF8"/>
    <w:rsid w:val="00D903D5"/>
    <w:rsid w:val="00D944B1"/>
    <w:rsid w:val="00D95179"/>
    <w:rsid w:val="00DB3EC2"/>
    <w:rsid w:val="00DB5AD3"/>
    <w:rsid w:val="00DB78B8"/>
    <w:rsid w:val="00DC7584"/>
    <w:rsid w:val="00DD43B9"/>
    <w:rsid w:val="00DF018A"/>
    <w:rsid w:val="00DF0C0A"/>
    <w:rsid w:val="00DF16F5"/>
    <w:rsid w:val="00DF7627"/>
    <w:rsid w:val="00E00F64"/>
    <w:rsid w:val="00E010A0"/>
    <w:rsid w:val="00E01EBB"/>
    <w:rsid w:val="00E11B6F"/>
    <w:rsid w:val="00E13DFA"/>
    <w:rsid w:val="00E3148E"/>
    <w:rsid w:val="00E33B68"/>
    <w:rsid w:val="00E46CA7"/>
    <w:rsid w:val="00E56A42"/>
    <w:rsid w:val="00E62063"/>
    <w:rsid w:val="00E62B4E"/>
    <w:rsid w:val="00E90BCB"/>
    <w:rsid w:val="00E962C5"/>
    <w:rsid w:val="00EA3488"/>
    <w:rsid w:val="00EB5F7D"/>
    <w:rsid w:val="00EC4FED"/>
    <w:rsid w:val="00EC589F"/>
    <w:rsid w:val="00EF103D"/>
    <w:rsid w:val="00EF4045"/>
    <w:rsid w:val="00EF6304"/>
    <w:rsid w:val="00F03666"/>
    <w:rsid w:val="00F173C9"/>
    <w:rsid w:val="00F32200"/>
    <w:rsid w:val="00F40AF9"/>
    <w:rsid w:val="00F47649"/>
    <w:rsid w:val="00F51367"/>
    <w:rsid w:val="00F65437"/>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107500687">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38E63-E341-45C7-BBFE-FC6047C7D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297</Words>
  <Characters>2411</Characters>
  <Application>Microsoft Office Word</Application>
  <DocSecurity>0</DocSecurity>
  <Lines>20</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4</cp:revision>
  <cp:lastPrinted>1900-01-01T06:00:00Z</cp:lastPrinted>
  <dcterms:created xsi:type="dcterms:W3CDTF">2019-11-05T14:14:00Z</dcterms:created>
  <dcterms:modified xsi:type="dcterms:W3CDTF">2019-11-08T11:51:00Z</dcterms:modified>
</cp:coreProperties>
</file>